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关于引导支持和服务保障企业开展“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三类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创新”</w:t>
      </w:r>
    </w:p>
    <w:p w14:paraId="10D9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试点工作实施方案（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2026—2027年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</w:p>
    <w:p w14:paraId="51D0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 w14:paraId="62550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>围绕省政府关于“产品技术创新、商业模式创新、经营管理创新”工作部署，以推动企业高质量创新发展为核心，力争到2027年，全市企业创新能力显著提升，形成一批具有咸宁特色的创新试点示范企业，全要素生产率持续提高，加快构建体现咸宁优势的现代化产业体系。</w:t>
      </w:r>
    </w:p>
    <w:p w14:paraId="271A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实行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以点带面、分步实施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开展试点工作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2026-2027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年，市级层面聚焦重点产业与企业开展先行先试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，力争2026年底成功培育20家左右创新示范企业。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2027年，全面总结试点经验，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在全市范围内引导支持100家试点企业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推动开展产品技术创新、商业模式创新、经营管理创新，形成市县联动、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重点突破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的创新工作格局。</w:t>
      </w:r>
    </w:p>
    <w:p w14:paraId="2B1F1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highlight w:val="none"/>
          <w:lang w:val="en-US" w:eastAsia="zh-CN"/>
        </w:rPr>
        <w:t>一、产品技术创新</w:t>
      </w:r>
    </w:p>
    <w:p w14:paraId="4B57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（一）建强研发创新平台矩阵。</w:t>
      </w:r>
      <w:r>
        <w:rPr>
          <w:rFonts w:hint="eastAsia" w:ascii="Times New Roman" w:hAnsi="Times New Roman" w:cs="仿宋_GB2312"/>
          <w:color w:val="auto"/>
          <w:highlight w:val="none"/>
          <w:lang w:val="en-US" w:eastAsia="zh-CN"/>
        </w:rPr>
        <w:t>重点支持规模以上工业企业设立研发机构，力争2026年底实现规上工业企业研发机构全覆盖。聚焦重点产业集群（打造1个千亿级低碳冶金产业，培育电子信息、装备制造、食品饮料、现代化工4个五百亿级产业集群），每个产业集群至少布局1个共性研发平台，力争2026年底实现重点产业集群共性研发平台全覆盖。（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责任单位：市科技局、市经信局，以下均有各县（市、区）人民政府、咸宁高新区</w:t>
      </w:r>
      <w:r>
        <w:rPr>
          <w:rFonts w:hint="eastAsia" w:eastAsia="楷体_GB2312" w:cs="楷体_GB2312"/>
          <w:color w:val="auto"/>
          <w:highlight w:val="none"/>
          <w:lang w:val="en-US" w:eastAsia="zh-CN"/>
        </w:rPr>
        <w:t>管委会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，不再一一列出）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642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67E5D745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专栏1  重点产业集群共性研发创新平台</w:t>
            </w:r>
          </w:p>
        </w:tc>
      </w:tr>
      <w:tr w14:paraId="45F4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597D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1.支持低碳冶金产业集群继续深化与武汉科技大学合作，共建冶金材料中试基地和绿色制造创新中心，推动冶金工艺绿色化、产品高端化转型。</w:t>
            </w:r>
          </w:p>
          <w:p w14:paraId="319A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2.支持电子信息产业集群聚焦新型显示、摄像模组、声学模组、绝缘材料等领域，加快产品、技术、工艺、装备等全方位创新升级，抢占行业技术制高点。</w:t>
            </w:r>
          </w:p>
          <w:p w14:paraId="7593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3.支持装备制造产业集群以湖北省智能机电产业研究院、湖北省赤壁产业技术研究院等平台为基础，聚焦无人装备、人工智能、前沿材料、智能装备等领域技术创新，提升产业技术攻关、项目研发、成果转化服务能力，争创国家级研发创新平台，打造区域研发创新平台标杆。</w:t>
            </w:r>
          </w:p>
          <w:p w14:paraId="18575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4.推动食品饮料产业集群依托华中健康饮品研发中心联合高校院所，聚焦功能性饮料、植物提取饮品、个性化定制饮品等方向，开展健康饮品关键共性技术攻关、中试熟化及成果转化，助力企业开发高附加值产品，打造华中地区健康饮品技术策源地和产业创新高地。</w:t>
            </w:r>
          </w:p>
          <w:p w14:paraId="56C6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default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5.支持现代化工产业集群以武汉新港潘湾工业园为依托，围绕芯片、半导体及光电显示材料等战略性新兴产业市场需求，大力推动光刻胶、高纯试剂、湿电子材料等电子化学品材料研发。</w:t>
            </w:r>
          </w:p>
        </w:tc>
      </w:tr>
    </w:tbl>
    <w:p w14:paraId="262B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（二）改革研发项目组织模式。</w:t>
      </w:r>
      <w:r>
        <w:rPr>
          <w:rFonts w:hint="eastAsia" w:ascii="Times New Roman" w:hAnsi="Times New Roman" w:cs="仿宋_GB2312"/>
          <w:color w:val="auto"/>
          <w:highlight w:val="none"/>
          <w:lang w:val="en-US" w:eastAsia="zh-CN"/>
        </w:rPr>
        <w:t>推进以企业为主体的协同创新机制，强化企业在技术创新决策、研发投入、项目实施和成果转化中的主体地位。系统研判各县市区主导产业的国内外技术发展趋势，聚焦产业升级关键环节，引导企业紧跟乃至引领产业技术方向，精准提炼产业共性技术需求与“卡脖子”难题，通过“揭榜挂帅”等方式，集聚省内外创新资源开展定向攻关，推动创新要素向企业高效集聚。支持企业运用数字化协同平台和用户共创模式，缩短研发周期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（责任单位：市科技局、市经信局、市发改委）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597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527C8F53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专栏2  重点创新资源集聚项目</w:t>
            </w:r>
          </w:p>
        </w:tc>
      </w:tr>
      <w:tr w14:paraId="35FA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3761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1.支持产业链主企业以“揭榜挂帅”方式，牵头组织实施产业关键核心技术攻关项目。</w:t>
            </w:r>
          </w:p>
          <w:p w14:paraId="2DC5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  <w:t>2.支持低碳冶金产业链上下游企业，共建湖北省钢铁材料用户技术产业创新联合体，开展板材钢、模具钢生产技术研发和应用技术研究，加快产品应用验证和迭代升级。</w:t>
            </w:r>
          </w:p>
        </w:tc>
      </w:tr>
    </w:tbl>
    <w:p w14:paraId="74C4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（三）加大创新人才引育力度。</w:t>
      </w:r>
      <w:r>
        <w:rPr>
          <w:rFonts w:hint="eastAsia" w:ascii="Times New Roman" w:hAnsi="Times New Roman" w:cs="仿宋_GB2312"/>
          <w:color w:val="auto"/>
          <w:highlight w:val="none"/>
          <w:lang w:val="en-US" w:eastAsia="zh-CN"/>
        </w:rPr>
        <w:t>持续实施“招硕引博”“引才专列”等引才活动，持续选派“科技副总”“科技特派员”等专家人才服务企业，深化企业、高校、科研院所协同创新，鼓励支持事业单位科研人员开展创新创业活动。持续实施“政聘企用”人才招聘机制，精准引进科技创新和产业创新急需各类高层次人才。创新人才评价机制，鼓励民营企业高层次专业技术人才和优秀青年人才直接申报中、高级职称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（责任单位：市人社局、市教育局、市科技局、市经信局）</w:t>
      </w:r>
    </w:p>
    <w:p w14:paraId="2EF8B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（四）加大研发投入保障力度。</w:t>
      </w:r>
      <w:r>
        <w:rPr>
          <w:rFonts w:hint="eastAsia" w:ascii="Times New Roman" w:hAnsi="Times New Roman" w:cs="仿宋_GB2312"/>
          <w:color w:val="auto"/>
          <w:highlight w:val="none"/>
          <w:lang w:val="en-US" w:eastAsia="zh-CN"/>
        </w:rPr>
        <w:t>围绕咸宁市现代化产业体系创新发展，充分发挥咸宁市产业投资基金的杠杆作用，撬动更多社会资本投向产业研发创新与成果转化。2025—2027年主要围绕新材料产业、科创产业等现代化工业企业开展投资，咸宁产业投资基金重点支持科技研发类项目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（责任单位：市财政局、市国资委、市科技局、市经信局、市高投集团）</w:t>
      </w:r>
    </w:p>
    <w:p w14:paraId="6258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（五）构建产学研用协同体系。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坚持以产业需求为核心导向，突出企业主体地位，引导和支持企业通过市场化方式，与高校、科研院所建立紧密型技术转移孵化联合体，推动创新资源从“成果供给”向“需求适配”转变，提高产学研协同创新的质量和效率。聚焦高校、科研院所优质科研设备、试验设施闲置与企业技术研发需求脱节的突出问题，重点搭建产学研用供需精准对接平台，建立企业需求发布、高校院所资源响应的常态化机制。支持高校院所实验室主动承接本地科技企业研发项目，提供定制化技术服务，力争实现每年度承接咸宁科技企业研发项目10项以上，推动科研设施从“校内专用”向“产业共用”转型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（责任单位：市科技局、市经信局、市发改委、市教育局、湖北科技学院）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3F4FFEB3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专栏3  重点</w:t>
            </w: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lang w:val="en-US" w:eastAsia="zh-CN"/>
              </w:rPr>
              <w:t>产学研协同创新联盟</w:t>
            </w:r>
          </w:p>
        </w:tc>
      </w:tr>
      <w:tr w14:paraId="5EB1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5E5EF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1.支持汽车零部件产业组建咸宁市汽车零部件产学研协同创新联盟。</w:t>
            </w:r>
          </w:p>
          <w:p w14:paraId="6ABD6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</w:rPr>
              <w:t>支持</w:t>
            </w:r>
            <w:r>
              <w:rPr>
                <w:rFonts w:hint="eastAsia" w:ascii="Times New Roman" w:hAnsi="Times New Roman" w:cs="仿宋_GB2312"/>
                <w:color w:val="auto"/>
                <w:sz w:val="32"/>
                <w:szCs w:val="32"/>
                <w:highlight w:val="none"/>
                <w:lang w:eastAsia="zh-CN"/>
              </w:rPr>
              <w:t>智能机电产业组建咸宁市机电制造产学研协同创新联盟。</w:t>
            </w:r>
          </w:p>
        </w:tc>
      </w:tr>
    </w:tbl>
    <w:p w14:paraId="5470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六</w:t>
      </w: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加快新产品应用推广。</w:t>
      </w:r>
      <w:r>
        <w:rPr>
          <w:rFonts w:hint="default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建立咸宁市创新产品应用推广清单，实施动态管理和审慎监管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对成功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获批</w:t>
      </w:r>
      <w:r>
        <w:rPr>
          <w:rFonts w:hint="default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国家及省级首台（套）重大技术装备、首批次新材料、首版次软件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的“三首”</w:t>
      </w:r>
      <w:r>
        <w:rPr>
          <w:rFonts w:hint="default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企业，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除按规定给予奖补支持外，市、县还通过“拨改投”的方式予以支持。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（责任单位：市经信局、市科技局、市发改委、市财政局、市市场监管局）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AFC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7A840786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专栏4  重点“三首”项目</w:t>
            </w:r>
          </w:p>
        </w:tc>
      </w:tr>
      <w:tr w14:paraId="0F96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0E0FF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支持智能装备、高性能复合材料研发与制造等高端项目纳入“三首”目录。</w:t>
            </w:r>
          </w:p>
        </w:tc>
      </w:tr>
    </w:tbl>
    <w:p w14:paraId="0BFD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highlight w:val="none"/>
          <w:lang w:val="en-US" w:eastAsia="zh-CN"/>
        </w:rPr>
        <w:t>二、商业模式创新</w:t>
      </w:r>
    </w:p>
    <w:p w14:paraId="079F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（七）增强市场需求感知能力。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鼓励企业主动融入由链长单位组建的产业联盟或行业协会。链长单位建立健全常态化工作机制，通过定期开展行业调研、需求对接与信息共享，为企业精准捕捉市场变化、发现并创造新机会提供支撑。引导企业借力联盟平台，深化信息、模式与产业链的协同，赋能企业创新发展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（责任单位：市经信局、市市场监管局、市商务局、市国资委、各产业链长单位）</w:t>
      </w:r>
    </w:p>
    <w:p w14:paraId="3234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（八）拓展产业链衍生服务。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推动装备制造产业沿价值链向高端攀升，鼓励企业从设备提供商向“制造+服务”集成商转型，提供包含研发设计、生产交付、运维升级在内的全生命周期管理服务。支持食品饮料产业深化与消费互联网的融合，发展以消费者数据驱动的C2M（用户直连制造）模式，构建柔性化生产线，实现精准生产与快速供应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（责任单位：市经信局、市科技局、市商务局、市发改委）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1A9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127A8797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专栏5  重点“产品即服务”项目</w:t>
            </w:r>
          </w:p>
        </w:tc>
      </w:tr>
      <w:tr w14:paraId="0CD5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752D0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highlight w:val="none"/>
                <w:lang w:val="en-US" w:eastAsia="zh-CN"/>
              </w:rPr>
              <w:t>支持装备制造产业链建设“定制化零部件+远程运维”服务平台，为客户提供从设计、生产到运维的一体化服务，打造装备制造领域服务型制造示范项目。</w:t>
            </w:r>
          </w:p>
          <w:p w14:paraId="6E17B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highlight w:val="none"/>
                <w:lang w:val="en-US" w:eastAsia="zh-CN"/>
              </w:rPr>
              <w:t>支持食品饮料产业链搭建“用户直连+柔性生产”数字化平台，通过大数据分析消费需求，开展个性化饮品定制生产，配套建设区域性冷链物流共享网络，实现“小批量、多批次”订单快速交付，探索快消品行业“制造+服务”转型样板。</w:t>
            </w:r>
          </w:p>
        </w:tc>
      </w:tr>
    </w:tbl>
    <w:p w14:paraId="455EA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（九）发展资源共享经济模式。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支持细分行业建设共享制造平台，实现在线接单、工序分解与多厂协同，探索建设共享工厂，2026-2027年，力争培育3-5家共享工厂。鼓励企业以市场化方式共享工业设计、中试测试、物流仓储及数据处理等服务，鼓励企业依托数据交易平台开展数据资产入表和数据流通交易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（责任单位：市经信局、市科技局、市商务局、市政数局）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2F4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3DCDB2DC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专栏6  重点“共享工厂”</w:t>
            </w:r>
          </w:p>
        </w:tc>
      </w:tr>
      <w:tr w14:paraId="6633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1934C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highlight w:val="none"/>
                <w:lang w:val="en-US" w:eastAsia="zh-CN"/>
              </w:rPr>
              <w:t>支持包装产业建设“包装行业共享生产平台”，提供罐身制造、印刷、盖体配套等工序共享服务，配套建设共享检测实验室，为中小食品饮料企业提供低成本、高质量的包装解决方案。</w:t>
            </w:r>
          </w:p>
          <w:p w14:paraId="54C97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32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2.支持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highlight w:val="none"/>
                <w:lang w:val="en-US" w:eastAsia="zh-CN"/>
              </w:rPr>
              <w:t>食品饮料产业打造“饮品行业共享工厂”，开放饮品自动化生产线（涵盖瓶装水、茶饮料、功能饮料等品类）、饮品原料集中采购渠道及标准化品控体系，为区域内中小饮品企业、初创饮品品牌提供代工生产、供应链共享（如原料统一采购、物流协同）。</w:t>
            </w:r>
          </w:p>
        </w:tc>
      </w:tr>
    </w:tbl>
    <w:p w14:paraId="4CDF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（十）推进产业跨界融合示范。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支持电子信息产业开展跨界融合试点，推动电子信息产品与汽车、无人机、智慧家居、医疗影像、新零售、AR/VR设备等领域深度融合。鼓励企业构建集数据采集、智能分析与场景适配为一体的数字技术底座，推进“电子信息+”在智能制造、低空经济、智慧城市、数字医疗等领域的交叉创新与示范应用，打造2-3个跨界融合示范项目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（责任单位：市政数局、市经信局、市发改委、市科技局、市卫健委、市资建局）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897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4077BE97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专栏7  重点产业跨界融合示范项目</w:t>
            </w:r>
          </w:p>
        </w:tc>
      </w:tr>
      <w:tr w14:paraId="0C27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06308312">
            <w:pPr>
              <w:numPr>
                <w:ilvl w:val="0"/>
                <w:numId w:val="0"/>
              </w:numPr>
              <w:ind w:firstLine="632" w:firstLineChars="200"/>
              <w:rPr>
                <w:rFonts w:hint="default" w:ascii="Times New Roman" w:hAnsi="Times New Roman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支持电子信息产业攻关1亿像素高清车载环视模组与新一代屏下指纹方案，产品跨界</w:t>
            </w:r>
            <w:r>
              <w:rPr>
                <w:rFonts w:hint="default" w:ascii="Times New Roman" w:hAnsi="Times New Roman" w:cs="仿宋_GB2312"/>
                <w:color w:val="auto"/>
                <w:highlight w:val="none"/>
                <w:lang w:val="en-US" w:eastAsia="zh-CN"/>
              </w:rPr>
              <w:t>融合</w:t>
            </w:r>
            <w:r>
              <w:rPr>
                <w:rFonts w:hint="eastAsia" w:ascii="Times New Roman" w:hAnsi="Times New Roman" w:cs="仿宋_GB2312"/>
                <w:color w:val="auto"/>
                <w:highlight w:val="none"/>
                <w:lang w:val="en-US" w:eastAsia="zh-CN"/>
              </w:rPr>
              <w:t>汽车、无人机、智能家居及人形机器人等领域。</w:t>
            </w:r>
          </w:p>
        </w:tc>
      </w:tr>
    </w:tbl>
    <w:p w14:paraId="27A5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  <w:t>三、经营管理创新</w:t>
      </w:r>
    </w:p>
    <w:p w14:paraId="350A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（十一）支持企业开拓海外市场。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积极对接并复制中国（湖北）自由贸易试验区改革经验，鼓励企业开展内外贸产品“同线同标同质”实践，提升产品国际竞争力，推动各类特色优势产品拓展海外市场。引导企业有效利用商务部“走出去”公共服务平台及地方对接渠道，强化国别指南、政策解读、风险预警等综合信息服务。（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责任单位：市商务局、市经信局、市科技局、市发改委、市市场监管局、市人民银行、咸宁金融监管分局）</w:t>
      </w:r>
    </w:p>
    <w:p w14:paraId="38B0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（十二）探索创新型收入分配体系。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支持企业建立以知识价值为导向的分配制度，将研发成果与核心技术贡献作为核心分配依据，提高科研人员与骨干薪酬占比。完善职务科技成果赋权机制，明确核心团队可通过成果作价入股、转化分红、岗位分红等方式分享创新收益，切实激发企业内部创新活力，以点带面推动形成“一产业一试点”的差异化探索格局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（责任单位：市国资委、市科技局、市经信局、市人社局、市市场监管局）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8FF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5B7D40C4">
            <w:pPr>
              <w:ind w:left="0" w:leftChars="0" w:firstLine="0" w:firstLineChars="0"/>
              <w:jc w:val="center"/>
              <w:rPr>
                <w:rFonts w:hint="eastAsia" w:ascii="Times New Roman" w:hAnsi="Times New Roman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专栏8  重点支持项目</w:t>
            </w:r>
          </w:p>
        </w:tc>
      </w:tr>
      <w:tr w14:paraId="556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0B865C0B">
            <w:pPr>
              <w:numPr>
                <w:ilvl w:val="0"/>
                <w:numId w:val="0"/>
              </w:numPr>
              <w:ind w:firstLine="632" w:firstLineChars="200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highlight w:val="none"/>
                <w:lang w:val="en-US" w:eastAsia="zh-CN"/>
              </w:rPr>
              <w:t>支持民营企业持续推进股权结构改革，通过股权激励方式，将科研人员吸纳为合伙人，打造市级创新型收入分配改革试点企业。</w:t>
            </w:r>
          </w:p>
        </w:tc>
      </w:tr>
    </w:tbl>
    <w:p w14:paraId="6F78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楷体_GB2312" w:cs="楷体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（十三）建强企业家人才队伍。</w:t>
      </w:r>
      <w:r>
        <w:rPr>
          <w:rFonts w:hint="eastAsia" w:ascii="Times New Roman" w:hAnsi="Times New Roman" w:cs="仿宋_GB2312"/>
          <w:b w:val="0"/>
          <w:bCs w:val="0"/>
          <w:color w:val="auto"/>
          <w:highlight w:val="none"/>
          <w:lang w:val="en-US" w:eastAsia="zh-CN"/>
        </w:rPr>
        <w:t>实施重点产业人才培育行动，每年面向全市重点企业，遴选5名左右创新型企业家、10名左右先进制造技术人才、20名左右先进基础工艺人才，并优先向工信部和省经信厅推荐。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（责任单位：市经信局、市人社局、市委党建人才办）</w:t>
      </w:r>
    </w:p>
    <w:p w14:paraId="4403E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highlight w:val="none"/>
          <w:lang w:val="en-US" w:eastAsia="zh-CN"/>
        </w:rPr>
        <w:t>四、政策支持</w:t>
      </w:r>
    </w:p>
    <w:p w14:paraId="47A4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（十四）健全联动推进机制。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紧扣“市级试点、县级扩面”分层推进节奏，建立市、县两级协同联动机制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市级层面强化统筹协调与政策集成，重点聚焦市级试点企业的创新需求，制定差异化支持举措（如试点专属政策包、资源对接通道），同时统筹调度全市创新资源向试点领域倾斜；县级层面聚焦任务执行与落地见效，在落实市级统一部署基础上，结合县域产业特色推进试点扩面，遴选符合本地实际的企业纳入县级创新试点，形成“市级抓标杆、县级抓覆盖”的推进格局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（责任单位：市直各有关单位）</w:t>
      </w:r>
    </w:p>
    <w:p w14:paraId="0A96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仿宋_GB2312"/>
          <w:b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（十五）强化财政资金引导。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市财政统筹一部分市级制造业高质量发展专项资金，采取“拨改投”的方式支持培育创新试点示范企业，重点支持研发创新平台建设。同时，鼓励各县（市、区）安排专项资金，采取“拨改投”等方式引导支持和服务保障企业开展产品技术创新、商业模式创新、经营管理创新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（责任单位：市财政局、市经信局、市科技局）</w:t>
      </w:r>
    </w:p>
    <w:p w14:paraId="5C41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（十六）激发科研资源效能。</w:t>
      </w:r>
      <w: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  <w:t>建立高校院所科研资源服务产业的激励机制，对积极承接企业研发需求并取得显著成效的实验室，按承接项目数量、技术转化成果、产业带动效应等核心指标给予相应补贴，充分激活高校院所科研设施与人才团队服务地方产业的内生动力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（责任单位：市科技局、市教育局、市经信局、市财政局）</w:t>
      </w:r>
    </w:p>
    <w:p w14:paraId="6B122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（十七）加大金融支持力度。</w:t>
      </w:r>
      <w:r>
        <w:rPr>
          <w:rFonts w:hint="eastAsia" w:ascii="Times New Roman" w:hAnsi="Times New Roman" w:eastAsia="仿宋_GB2312"/>
          <w:b w:val="0"/>
          <w:bCs w:val="0"/>
          <w:color w:val="auto"/>
          <w:highlight w:val="none"/>
          <w:lang w:val="en-US" w:eastAsia="zh-CN"/>
        </w:rPr>
        <w:t>建立财政贴息、风险补偿等支持机制，引导金融机构和投资平台运用好“拨改投”“拨改贴”等政策工具，鼓励商业银行创新推出适配“三类创新”企业的金融产品，探索构建“政、银、保、担、企”五位一体协同支持体系，多方协同缓解“三类创新”企业融资难题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（责任单位：市财政局、市人民银行、咸宁金融监管分局、市高投集团）</w:t>
      </w:r>
    </w:p>
    <w:p w14:paraId="168D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（十八）强化产教人才支撑。</w:t>
      </w:r>
      <w:r>
        <w:rPr>
          <w:rFonts w:hint="eastAsia" w:ascii="Times New Roman" w:hAnsi="Times New Roman" w:eastAsia="仿宋_GB2312"/>
          <w:b w:val="0"/>
          <w:bCs w:val="0"/>
          <w:color w:val="auto"/>
          <w:highlight w:val="none"/>
          <w:lang w:val="en-US" w:eastAsia="zh-CN"/>
        </w:rPr>
        <w:t>深化教育、科技、人才一体化发展机制，围绕产业需求推进人才定制化培养。发挥教育基础支撑作用，精准对接企业人才需求，构建“产教融合、校企协同”的人才培养体系。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（责任单位：市教育局、市人社局、市委党建人才办）</w:t>
      </w:r>
    </w:p>
    <w:p w14:paraId="4FFF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jc w:val="both"/>
        <w:textAlignment w:val="baseline"/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（十九）梯度培育创新企业。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获得专精特新、单项冠军等省级以上试点示范的企业，优先作为培育对象，纳入市级创新试点企业库，实行“一企一策”重点扶持，对照认定标准开展精准培育辅导，在项目申报、要素保障等方面给予优先支持。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（责任单位：市经信局、市科技局、市发改委、市财政局）</w:t>
      </w:r>
    </w:p>
    <w:p w14:paraId="4EA1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32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highlight w:val="none"/>
          <w:lang w:val="en-US" w:eastAsia="zh-CN"/>
        </w:rPr>
        <w:t>（二十）实施包容审慎监管。</w:t>
      </w:r>
      <w:r>
        <w:rPr>
          <w:rFonts w:hint="eastAsia" w:ascii="Times New Roman" w:hAnsi="Times New Roman" w:eastAsia="仿宋_GB2312"/>
          <w:b w:val="0"/>
          <w:bCs w:val="0"/>
          <w:color w:val="auto"/>
          <w:highlight w:val="none"/>
          <w:lang w:val="en-US" w:eastAsia="zh-CN"/>
        </w:rPr>
        <w:t>坚持鼓励创新、容错纠错的原则，持续优化创新发展环境。对企业创新过程中非主观故意、未造成重大危害的行为，实行包容审慎监管，避免简单化和“一刀切”，为企业放开手脚、大胆创新提供空间。</w:t>
      </w:r>
      <w:r>
        <w:rPr>
          <w:rFonts w:hint="eastAsia" w:ascii="Times New Roman" w:hAnsi="Times New Roman" w:eastAsia="楷体_GB2312" w:cs="楷体_GB2312"/>
          <w:color w:val="auto"/>
          <w:highlight w:val="none"/>
          <w:lang w:val="en-US" w:eastAsia="zh-CN"/>
        </w:rPr>
        <w:t>（责任单位：市市场监管局）</w:t>
      </w:r>
    </w:p>
    <w:p w14:paraId="4497D26E"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F22B4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02B9A6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B67C1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739110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390A2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569BB7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84E6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2117E4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11DB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D9F19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CAF6D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578F4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7759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2EFE84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9AEED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D107C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69FFDF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0FE23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6BCB51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B755C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2818D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626A86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2BEAB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165CD5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929B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1E39D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358981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77A158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052E13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08CAF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ACF43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16" w:firstLineChars="100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48260</wp:posOffset>
                </wp:positionV>
                <wp:extent cx="5572125" cy="635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35pt;margin-top:3.8pt;height:0.05pt;width:438.75pt;z-index:251662336;mso-width-relative:page;mso-height-relative:page;" filled="f" stroked="t" coordsize="21600,21600" o:gfxdata="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3xjBTTAAAABQEAAA8AAAAAAAAAAQAgAAAAIgAAAGRycy9kb3ducmV2Lnht&#10;bFBLAQIUABQAAAAIAIdO4kD2ZE5m/gEAAO4DAAAOAAAAAAAAAAEAIAAAACIBAABkcnMvZTJvRG9j&#10;LnhtbFBLBQYAAAAABgAGAFkBAACSBQAAAAA=&#10;">
                <v:fill on="f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387985</wp:posOffset>
                </wp:positionV>
                <wp:extent cx="5572125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35pt;margin-top:30.55pt;height:0.05pt;width:438.75pt;z-index:251661312;mso-width-relative:page;mso-height-relative:page;" filled="f" stroked="t" coordsize="21600,21600" o:gfxdata="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+CAFA1AAAAAcBAAAPAAAAAAAAAAEAIAAAACIAAABkcnMvZG93bnJldi54&#10;bWxQSwECFAAUAAAACACHTuJAUI6mSf4BAADuAwAADgAAAAAAAAABACAAAAAjAQAAZHJzL2Uyb0Rv&#10;Yy54bWxQSwUGAAAAAAYABgBZAQAAkwUAAAAA&#10;">
                <v:fill on="f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抄送：各县（市、区）人民政府</w:t>
      </w:r>
    </w:p>
    <w:p w14:paraId="4587269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16" w:firstLineChars="1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387985</wp:posOffset>
                </wp:positionV>
                <wp:extent cx="5572125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6pt;margin-top:30.55pt;height:0.05pt;width:438.75pt;z-index:251660288;mso-width-relative:page;mso-height-relative:page;" filled="f" stroked="t" coordsize="21600,21600" o:gfxdata="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Mji8S1AAAAAcBAAAPAAAAAAAAAAEAIAAAACIAAABkcnMvZG93bnJldi54&#10;bWxQSwECFAAUAAAACACHTuJAn+lSlv4BAADuAwAADgAAAAAAAAABACAAAAAjAQAAZHJzL2Uyb0Rv&#10;Yy54bWxQSwUGAAAAAAYABgBZAQAAkwUAAAAA&#10;">
                <v:fill on="f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>咸宁市经济和信息化局办公室       2026年4月2</w:t>
      </w:r>
      <w:r>
        <w:rPr>
          <w:rFonts w:hint="eastAsia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F087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760" w:lineRule="exact"/>
      <w:ind w:left="0" w:leftChars="0"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5E248"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5E248"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41C9A"/>
    <w:rsid w:val="073A6F28"/>
    <w:rsid w:val="08D93226"/>
    <w:rsid w:val="0CF34325"/>
    <w:rsid w:val="0DF447F8"/>
    <w:rsid w:val="0E9D7CB7"/>
    <w:rsid w:val="0F4A7F82"/>
    <w:rsid w:val="121E213C"/>
    <w:rsid w:val="156B19A2"/>
    <w:rsid w:val="17B51C39"/>
    <w:rsid w:val="18D5444E"/>
    <w:rsid w:val="19C85AFC"/>
    <w:rsid w:val="19EF9AC1"/>
    <w:rsid w:val="1A7E7B1D"/>
    <w:rsid w:val="1B641C9A"/>
    <w:rsid w:val="22AD03EC"/>
    <w:rsid w:val="25965096"/>
    <w:rsid w:val="280F211B"/>
    <w:rsid w:val="286F1880"/>
    <w:rsid w:val="287A7637"/>
    <w:rsid w:val="2B58136D"/>
    <w:rsid w:val="37FAE68D"/>
    <w:rsid w:val="3ACF5687"/>
    <w:rsid w:val="3D2C1009"/>
    <w:rsid w:val="42D54172"/>
    <w:rsid w:val="459F6E66"/>
    <w:rsid w:val="471B01AA"/>
    <w:rsid w:val="4B8D4D78"/>
    <w:rsid w:val="4F6E5B01"/>
    <w:rsid w:val="51A02B12"/>
    <w:rsid w:val="53E62405"/>
    <w:rsid w:val="54992FD0"/>
    <w:rsid w:val="5525455D"/>
    <w:rsid w:val="55A33DA3"/>
    <w:rsid w:val="56D01307"/>
    <w:rsid w:val="5A093EC3"/>
    <w:rsid w:val="5BDB4F32"/>
    <w:rsid w:val="5DF7C3A2"/>
    <w:rsid w:val="61BB4F75"/>
    <w:rsid w:val="62CD1538"/>
    <w:rsid w:val="63270D4B"/>
    <w:rsid w:val="63F91F96"/>
    <w:rsid w:val="665039BA"/>
    <w:rsid w:val="6747066A"/>
    <w:rsid w:val="67876CB8"/>
    <w:rsid w:val="68BC2E3F"/>
    <w:rsid w:val="6D993640"/>
    <w:rsid w:val="6E374472"/>
    <w:rsid w:val="72D04526"/>
    <w:rsid w:val="732A5BF0"/>
    <w:rsid w:val="73B0704C"/>
    <w:rsid w:val="789E20B4"/>
    <w:rsid w:val="7CB75114"/>
    <w:rsid w:val="7DBBA643"/>
    <w:rsid w:val="7FF4717D"/>
    <w:rsid w:val="979FA5C0"/>
    <w:rsid w:val="9AC93839"/>
    <w:rsid w:val="9FFE7048"/>
    <w:rsid w:val="AFBF4BBC"/>
    <w:rsid w:val="B62FAEFC"/>
    <w:rsid w:val="BBAD2B30"/>
    <w:rsid w:val="CD61DD1D"/>
    <w:rsid w:val="E7E77D13"/>
    <w:rsid w:val="E7FD4635"/>
    <w:rsid w:val="EFD7605F"/>
    <w:rsid w:val="EFEC22A8"/>
    <w:rsid w:val="F6DF81DA"/>
    <w:rsid w:val="F76FC04B"/>
    <w:rsid w:val="FEDB2331"/>
    <w:rsid w:val="FF724234"/>
    <w:rsid w:val="FFFF5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  <w:rPr>
      <w:rFonts w:ascii="Times New Roman" w:hAnsi="Times New Roman"/>
    </w:rPr>
  </w:style>
  <w:style w:type="paragraph" w:styleId="4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next w:val="1"/>
    <w:qFormat/>
    <w:uiPriority w:val="0"/>
    <w:pPr>
      <w:widowControl w:val="0"/>
      <w:adjustRightInd w:val="0"/>
      <w:spacing w:line="312" w:lineRule="atLeast"/>
      <w:ind w:firstLine="420" w:firstLineChars="200"/>
      <w:jc w:val="both"/>
      <w:textAlignment w:val="baseline"/>
    </w:pPr>
    <w:rPr>
      <w:rFonts w:ascii="Times New Roman" w:hAnsi="Times New Roman" w:eastAsia="黑体" w:cs="Times New Roman"/>
      <w:kern w:val="0"/>
      <w:sz w:val="24"/>
      <w:szCs w:val="20"/>
      <w:lang w:val="en-US" w:eastAsia="zh-CN" w:bidi="ar-SA"/>
    </w:rPr>
  </w:style>
  <w:style w:type="paragraph" w:styleId="6">
    <w:name w:val="index 5"/>
    <w:next w:val="1"/>
    <w:qFormat/>
    <w:uiPriority w:val="99"/>
    <w:pPr>
      <w:widowControl w:val="0"/>
      <w:spacing w:line="560" w:lineRule="exact"/>
      <w:ind w:left="1680"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home\user\C:\home\user\D:\&#26700;&#38754;\&#27169;&#26495;&#25991;&#202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模板文件.wpt</Template>
  <Pages>11</Pages>
  <Words>5251</Words>
  <Characters>5347</Characters>
  <Lines>0</Lines>
  <Paragraphs>0</Paragraphs>
  <TotalTime>18</TotalTime>
  <ScaleCrop>false</ScaleCrop>
  <LinksUpToDate>false</LinksUpToDate>
  <CharactersWithSpaces>5407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2026-04-16T03:23:00Z</dcterms:created>
  <dc:creator>无耻之徒</dc:creator>
  <cp:lastModifiedBy>不吃辣就不开森</cp:lastModifiedBy>
  <cp:lastPrinted>2026-04-16T09:53:00Z</cp:lastPrinted>
  <dcterms:modified xsi:type="dcterms:W3CDTF">2026-04-21T10:03:58Z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0CAAEDC266784C158BA149EC3CE66664_13</vt:lpwstr>
  </property>
  <property fmtid="{D5CDD505-2E9C-101B-9397-08002B2CF9AE}" pid="4" name="KSOTemplateDocerSaveRecord">
    <vt:lpwstr>eyJoZGlkIjoiZmFjMTU0ZWY3YzMzZWI2ZmRmNjkzNDlmODUyZjg0OWIiLCJ1c2VySWQiOiI5NTA3NzE0ODEifQ==</vt:lpwstr>
  </property>
</Properties>
</file>